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762B1E" w:rsidRPr="00586553" w14:paraId="329722C2" w14:textId="77777777" w:rsidTr="00762B1E">
        <w:tc>
          <w:tcPr>
            <w:tcW w:w="14312" w:type="dxa"/>
            <w:shd w:val="clear" w:color="auto" w:fill="DEEAF6" w:themeFill="accent1" w:themeFillTint="33"/>
          </w:tcPr>
          <w:p w14:paraId="17993DF4" w14:textId="799897D2" w:rsidR="00762B1E" w:rsidRPr="00586553" w:rsidRDefault="00762B1E" w:rsidP="00762B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586553">
              <w:rPr>
                <w:rFonts w:ascii="Arial" w:hAnsi="Arial" w:cs="Arial"/>
                <w:b/>
                <w:sz w:val="32"/>
                <w:szCs w:val="32"/>
              </w:rPr>
              <w:t>Oasis Academy Henderson Avenue Accessibility Plan</w:t>
            </w:r>
          </w:p>
          <w:p w14:paraId="69C7D72F" w14:textId="1FBDFD39" w:rsidR="00762B1E" w:rsidRPr="00586553" w:rsidRDefault="00762B1E" w:rsidP="00762B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86553">
              <w:rPr>
                <w:rFonts w:ascii="Arial" w:hAnsi="Arial" w:cs="Arial"/>
                <w:b/>
                <w:sz w:val="32"/>
                <w:szCs w:val="32"/>
              </w:rPr>
              <w:t>2020-2023</w:t>
            </w:r>
          </w:p>
        </w:tc>
      </w:tr>
    </w:tbl>
    <w:p w14:paraId="61E27ACC" w14:textId="707A5BAE" w:rsidR="00302584" w:rsidRPr="00586553" w:rsidRDefault="00302584" w:rsidP="00A36881">
      <w:pPr>
        <w:rPr>
          <w:rFonts w:ascii="Arial" w:hAnsi="Arial" w:cs="Arial"/>
          <w:b/>
          <w:sz w:val="28"/>
          <w:szCs w:val="28"/>
        </w:rPr>
      </w:pPr>
      <w:r w:rsidRPr="00586553">
        <w:rPr>
          <w:rFonts w:ascii="Arial" w:hAnsi="Arial" w:cs="Arial"/>
          <w:sz w:val="24"/>
          <w:szCs w:val="24"/>
        </w:rPr>
        <w:t xml:space="preserve">We aim for Oasis Academy </w:t>
      </w:r>
      <w:r w:rsidRPr="00586553">
        <w:rPr>
          <w:rFonts w:ascii="Arial" w:hAnsi="Arial" w:cs="Arial"/>
          <w:sz w:val="24"/>
          <w:szCs w:val="24"/>
        </w:rPr>
        <w:t>Henderson</w:t>
      </w:r>
      <w:r w:rsidRPr="00586553">
        <w:rPr>
          <w:rFonts w:ascii="Arial" w:hAnsi="Arial" w:cs="Arial"/>
          <w:sz w:val="24"/>
          <w:szCs w:val="24"/>
        </w:rPr>
        <w:t>, in line with the Equality Act 2010</w:t>
      </w:r>
      <w:r w:rsidR="00762B1E" w:rsidRPr="00586553">
        <w:rPr>
          <w:rFonts w:ascii="Arial" w:hAnsi="Arial" w:cs="Arial"/>
          <w:sz w:val="24"/>
          <w:szCs w:val="24"/>
        </w:rPr>
        <w:t>,</w:t>
      </w:r>
      <w:r w:rsidRPr="00586553">
        <w:rPr>
          <w:rFonts w:ascii="Arial" w:hAnsi="Arial" w:cs="Arial"/>
          <w:sz w:val="24"/>
          <w:szCs w:val="24"/>
        </w:rPr>
        <w:t xml:space="preserve"> to be welcoming and happy environment in which all students thrive, develop a curiosity for learning and actively engage in acquiring skills and characteristics for the future. We want all students to enjoy school, to be challenged</w:t>
      </w:r>
      <w:r w:rsidR="00762B1E" w:rsidRPr="00586553">
        <w:rPr>
          <w:rFonts w:ascii="Arial" w:hAnsi="Arial" w:cs="Arial"/>
          <w:sz w:val="24"/>
          <w:szCs w:val="24"/>
        </w:rPr>
        <w:t>,</w:t>
      </w:r>
      <w:r w:rsidRPr="00586553">
        <w:rPr>
          <w:rFonts w:ascii="Arial" w:hAnsi="Arial" w:cs="Arial"/>
          <w:sz w:val="24"/>
          <w:szCs w:val="24"/>
        </w:rPr>
        <w:t xml:space="preserve"> to achieve their very best, and we are committed to giving all of them every opportunity to achieve </w:t>
      </w:r>
      <w:r w:rsidR="00264D2C">
        <w:rPr>
          <w:rFonts w:ascii="Arial" w:hAnsi="Arial" w:cs="Arial"/>
          <w:sz w:val="24"/>
          <w:szCs w:val="24"/>
        </w:rPr>
        <w:t>this to the highest standard they can.</w:t>
      </w:r>
      <w:r w:rsidRPr="00586553">
        <w:rPr>
          <w:rFonts w:ascii="Arial" w:hAnsi="Arial" w:cs="Arial"/>
          <w:sz w:val="24"/>
          <w:szCs w:val="24"/>
        </w:rPr>
        <w:t xml:space="preserve"> We aim to meet every child’s needs within mixed ability, inclusive classes and we want all students to participate fully in the life of the Academy.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62B1E" w:rsidRPr="00586553" w14:paraId="02E616ED" w14:textId="77777777" w:rsidTr="00762B1E">
        <w:tc>
          <w:tcPr>
            <w:tcW w:w="13948" w:type="dxa"/>
            <w:shd w:val="clear" w:color="auto" w:fill="DEEAF6" w:themeFill="accent1" w:themeFillTint="33"/>
          </w:tcPr>
          <w:p w14:paraId="1EFA4998" w14:textId="1678C3DF" w:rsidR="00762B1E" w:rsidRPr="00586553" w:rsidRDefault="00762B1E" w:rsidP="00762B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553">
              <w:rPr>
                <w:rFonts w:ascii="Arial" w:hAnsi="Arial" w:cs="Arial"/>
                <w:b/>
                <w:sz w:val="28"/>
                <w:szCs w:val="28"/>
              </w:rPr>
              <w:t>Improving access to the curriculum</w:t>
            </w:r>
          </w:p>
        </w:tc>
      </w:tr>
    </w:tbl>
    <w:p w14:paraId="0121806D" w14:textId="5516FB35" w:rsidR="00302584" w:rsidRPr="00586553" w:rsidRDefault="00762B1E" w:rsidP="00A36881">
      <w:pPr>
        <w:rPr>
          <w:rFonts w:ascii="Arial" w:hAnsi="Arial" w:cs="Arial"/>
          <w:sz w:val="24"/>
          <w:szCs w:val="24"/>
        </w:rPr>
      </w:pPr>
      <w:r w:rsidRPr="00586553">
        <w:rPr>
          <w:rFonts w:ascii="Arial" w:hAnsi="Arial" w:cs="Arial"/>
          <w:sz w:val="24"/>
          <w:szCs w:val="24"/>
        </w:rPr>
        <w:t>The</w:t>
      </w:r>
      <w:r w:rsidR="002923B6" w:rsidRPr="00586553">
        <w:rPr>
          <w:rFonts w:ascii="Arial" w:hAnsi="Arial" w:cs="Arial"/>
          <w:sz w:val="24"/>
          <w:szCs w:val="24"/>
        </w:rPr>
        <w:t xml:space="preserve"> curriculum was reviewed in 2018; it is underpinned by the 9 Habits</w:t>
      </w:r>
      <w:r w:rsidRPr="00586553">
        <w:rPr>
          <w:rFonts w:ascii="Arial" w:hAnsi="Arial" w:cs="Arial"/>
          <w:sz w:val="24"/>
          <w:szCs w:val="24"/>
        </w:rPr>
        <w:t xml:space="preserve"> and</w:t>
      </w:r>
      <w:r w:rsidRPr="00586553">
        <w:rPr>
          <w:rFonts w:ascii="Arial" w:hAnsi="Arial" w:cs="Arial"/>
          <w:sz w:val="24"/>
          <w:szCs w:val="24"/>
        </w:rPr>
        <w:t xml:space="preserve"> is framed around three key </w:t>
      </w:r>
      <w:r w:rsidRPr="00586553">
        <w:rPr>
          <w:rFonts w:ascii="Arial" w:hAnsi="Arial" w:cs="Arial"/>
          <w:sz w:val="24"/>
          <w:szCs w:val="24"/>
        </w:rPr>
        <w:t>drive</w:t>
      </w:r>
      <w:r w:rsidRPr="00586553">
        <w:rPr>
          <w:rFonts w:ascii="Arial" w:hAnsi="Arial" w:cs="Arial"/>
          <w:sz w:val="24"/>
          <w:szCs w:val="24"/>
        </w:rPr>
        <w:t>r</w:t>
      </w:r>
      <w:r w:rsidR="002923B6" w:rsidRPr="00586553">
        <w:rPr>
          <w:rFonts w:ascii="Arial" w:hAnsi="Arial" w:cs="Arial"/>
          <w:sz w:val="24"/>
          <w:szCs w:val="24"/>
        </w:rPr>
        <w:t>s</w:t>
      </w:r>
      <w:r w:rsidRPr="00586553">
        <w:rPr>
          <w:rFonts w:ascii="Arial" w:hAnsi="Arial" w:cs="Arial"/>
          <w:sz w:val="24"/>
          <w:szCs w:val="24"/>
        </w:rPr>
        <w:t>, communities, possibilities and mindfulness</w:t>
      </w:r>
      <w:r w:rsidRPr="00586553">
        <w:rPr>
          <w:rFonts w:ascii="Arial" w:hAnsi="Arial" w:cs="Arial"/>
          <w:sz w:val="24"/>
          <w:szCs w:val="24"/>
        </w:rPr>
        <w:t xml:space="preserve">. </w:t>
      </w:r>
      <w:r w:rsidR="002923B6" w:rsidRPr="00586553">
        <w:rPr>
          <w:rFonts w:ascii="Arial" w:hAnsi="Arial" w:cs="Arial"/>
          <w:color w:val="000000"/>
          <w:sz w:val="24"/>
          <w:szCs w:val="24"/>
        </w:rPr>
        <w:t xml:space="preserve">Our Curriculum Drivers were chosen as they ensure all teachers plan a </w:t>
      </w:r>
      <w:r w:rsidR="002923B6" w:rsidRPr="00586553">
        <w:rPr>
          <w:rFonts w:ascii="Arial" w:hAnsi="Arial" w:cs="Arial"/>
          <w:color w:val="000000"/>
          <w:sz w:val="24"/>
          <w:szCs w:val="24"/>
        </w:rPr>
        <w:t>curriculum, which</w:t>
      </w:r>
      <w:r w:rsidR="002923B6" w:rsidRPr="00586553">
        <w:rPr>
          <w:rFonts w:ascii="Arial" w:hAnsi="Arial" w:cs="Arial"/>
          <w:color w:val="000000"/>
          <w:sz w:val="24"/>
          <w:szCs w:val="24"/>
        </w:rPr>
        <w:t xml:space="preserve"> responds the particular needs of our community.</w:t>
      </w:r>
      <w:r w:rsidR="002923B6" w:rsidRPr="00586553">
        <w:rPr>
          <w:rFonts w:ascii="Arial" w:hAnsi="Arial" w:cs="Arial"/>
          <w:color w:val="000000"/>
          <w:sz w:val="24"/>
          <w:szCs w:val="24"/>
        </w:rPr>
        <w:t xml:space="preserve"> W</w:t>
      </w:r>
      <w:r w:rsidRPr="00586553">
        <w:rPr>
          <w:rFonts w:ascii="Arial" w:hAnsi="Arial" w:cs="Arial"/>
          <w:sz w:val="24"/>
          <w:szCs w:val="24"/>
        </w:rPr>
        <w:t>e offer a broad and balanced curriculum and have high expectations for all children. Our wide range of trips and activities compliment the curriculum and ensure all pupils access opportunities.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923B6" w:rsidRPr="00586553" w14:paraId="6DA6F81F" w14:textId="77777777" w:rsidTr="002923B6">
        <w:tc>
          <w:tcPr>
            <w:tcW w:w="13948" w:type="dxa"/>
            <w:shd w:val="clear" w:color="auto" w:fill="DEEAF6" w:themeFill="accent1" w:themeFillTint="33"/>
          </w:tcPr>
          <w:p w14:paraId="5A64F20E" w14:textId="096E79FC" w:rsidR="002923B6" w:rsidRPr="00586553" w:rsidRDefault="002923B6" w:rsidP="002923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553">
              <w:rPr>
                <w:rFonts w:ascii="Arial" w:hAnsi="Arial" w:cs="Arial"/>
                <w:b/>
                <w:sz w:val="28"/>
                <w:szCs w:val="28"/>
              </w:rPr>
              <w:t>Improving access to the physical environment</w:t>
            </w:r>
          </w:p>
        </w:tc>
      </w:tr>
    </w:tbl>
    <w:p w14:paraId="0057C639" w14:textId="12A85884" w:rsidR="002923B6" w:rsidRPr="00586553" w:rsidRDefault="002923B6" w:rsidP="00A36881">
      <w:pPr>
        <w:rPr>
          <w:rFonts w:ascii="Arial" w:hAnsi="Arial" w:cs="Arial"/>
          <w:sz w:val="24"/>
          <w:szCs w:val="24"/>
        </w:rPr>
      </w:pPr>
      <w:r w:rsidRPr="00586553">
        <w:rPr>
          <w:rFonts w:ascii="Arial" w:hAnsi="Arial" w:cs="Arial"/>
          <w:sz w:val="24"/>
          <w:szCs w:val="24"/>
        </w:rPr>
        <w:t>The building is accessible to wheelchair users and we wo</w:t>
      </w:r>
      <w:r w:rsidRPr="00586553">
        <w:rPr>
          <w:rFonts w:ascii="Arial" w:hAnsi="Arial" w:cs="Arial"/>
          <w:sz w:val="24"/>
          <w:szCs w:val="24"/>
        </w:rPr>
        <w:t xml:space="preserve">rk closely with other </w:t>
      </w:r>
      <w:r w:rsidRPr="00586553">
        <w:rPr>
          <w:rFonts w:ascii="Arial" w:hAnsi="Arial" w:cs="Arial"/>
          <w:sz w:val="24"/>
          <w:szCs w:val="24"/>
        </w:rPr>
        <w:t xml:space="preserve">agencies to cater for the needs of </w:t>
      </w:r>
      <w:r w:rsidRPr="00586553">
        <w:rPr>
          <w:rFonts w:ascii="Arial" w:hAnsi="Arial" w:cs="Arial"/>
          <w:sz w:val="24"/>
          <w:szCs w:val="24"/>
        </w:rPr>
        <w:t xml:space="preserve">our pupils with SEND. There are </w:t>
      </w:r>
      <w:r w:rsidRPr="00586553">
        <w:rPr>
          <w:rFonts w:ascii="Arial" w:hAnsi="Arial" w:cs="Arial"/>
          <w:sz w:val="24"/>
          <w:szCs w:val="24"/>
        </w:rPr>
        <w:t>disabled toilets</w:t>
      </w:r>
      <w:r w:rsidRPr="00586553">
        <w:rPr>
          <w:rFonts w:ascii="Arial" w:hAnsi="Arial" w:cs="Arial"/>
          <w:sz w:val="24"/>
          <w:szCs w:val="24"/>
        </w:rPr>
        <w:t xml:space="preserve"> on both levels and a lift to ensure </w:t>
      </w:r>
      <w:r w:rsidR="00264D2C" w:rsidRPr="00586553">
        <w:rPr>
          <w:rFonts w:ascii="Arial" w:hAnsi="Arial" w:cs="Arial"/>
          <w:sz w:val="24"/>
          <w:szCs w:val="24"/>
        </w:rPr>
        <w:t>pupils;</w:t>
      </w:r>
      <w:r w:rsidRPr="00586553">
        <w:rPr>
          <w:rFonts w:ascii="Arial" w:hAnsi="Arial" w:cs="Arial"/>
          <w:sz w:val="24"/>
          <w:szCs w:val="24"/>
        </w:rPr>
        <w:t xml:space="preserve"> staff and visitors can access all areas of the building.</w:t>
      </w:r>
      <w:r w:rsidRPr="00586553">
        <w:rPr>
          <w:rFonts w:ascii="Arial" w:hAnsi="Arial" w:cs="Arial"/>
          <w:sz w:val="24"/>
          <w:szCs w:val="24"/>
        </w:rPr>
        <w:t xml:space="preserve"> Disabled parking arrangements are in place at the front of the building</w:t>
      </w:r>
      <w:r w:rsidRPr="00586553">
        <w:rPr>
          <w:rFonts w:ascii="Arial" w:hAnsi="Arial" w:cs="Arial"/>
          <w:sz w:val="24"/>
          <w:szCs w:val="24"/>
        </w:rPr>
        <w:t xml:space="preserve"> and there is a sloped entrance to the reception area with automatic doors to allow easy access for all students, staff and visitors.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923B6" w:rsidRPr="00586553" w14:paraId="7A3697B7" w14:textId="77777777" w:rsidTr="002923B6">
        <w:tc>
          <w:tcPr>
            <w:tcW w:w="13948" w:type="dxa"/>
            <w:shd w:val="clear" w:color="auto" w:fill="DEEAF6" w:themeFill="accent1" w:themeFillTint="33"/>
          </w:tcPr>
          <w:p w14:paraId="78C35F94" w14:textId="68EF8B19" w:rsidR="002923B6" w:rsidRPr="00586553" w:rsidRDefault="002923B6" w:rsidP="002923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553">
              <w:rPr>
                <w:rFonts w:ascii="Arial" w:hAnsi="Arial" w:cs="Arial"/>
                <w:b/>
                <w:sz w:val="28"/>
                <w:szCs w:val="28"/>
              </w:rPr>
              <w:t>Improving access to information</w:t>
            </w:r>
          </w:p>
        </w:tc>
      </w:tr>
    </w:tbl>
    <w:p w14:paraId="1710EEBE" w14:textId="6C5FD7B6" w:rsidR="002923B6" w:rsidRPr="00586553" w:rsidRDefault="00EA08E8" w:rsidP="00A36881">
      <w:pPr>
        <w:rPr>
          <w:rFonts w:ascii="Arial" w:hAnsi="Arial" w:cs="Arial"/>
          <w:sz w:val="24"/>
          <w:szCs w:val="24"/>
        </w:rPr>
      </w:pPr>
      <w:r w:rsidRPr="00586553">
        <w:rPr>
          <w:rFonts w:ascii="Arial" w:hAnsi="Arial" w:cs="Arial"/>
          <w:sz w:val="24"/>
          <w:szCs w:val="24"/>
        </w:rPr>
        <w:t xml:space="preserve">We have worked hard to improve the quality of our communication over the last three years. We have kept the website </w:t>
      </w:r>
      <w:r w:rsidRPr="00586553">
        <w:rPr>
          <w:rFonts w:ascii="Arial" w:hAnsi="Arial" w:cs="Arial"/>
          <w:sz w:val="24"/>
          <w:szCs w:val="24"/>
        </w:rPr>
        <w:t xml:space="preserve">updated and made use of Twitter and text </w:t>
      </w:r>
      <w:r w:rsidRPr="00586553">
        <w:rPr>
          <w:rFonts w:ascii="Arial" w:hAnsi="Arial" w:cs="Arial"/>
          <w:sz w:val="24"/>
          <w:szCs w:val="24"/>
        </w:rPr>
        <w:t>to pass on information and share pictures of events quickly and efficiently</w:t>
      </w:r>
      <w:r w:rsidRPr="00586553">
        <w:rPr>
          <w:rFonts w:ascii="Arial" w:hAnsi="Arial" w:cs="Arial"/>
          <w:sz w:val="24"/>
          <w:szCs w:val="24"/>
        </w:rPr>
        <w:t xml:space="preserve"> in addition to the traditional paper based methods</w:t>
      </w:r>
      <w:r w:rsidRPr="00586553">
        <w:rPr>
          <w:rFonts w:ascii="Arial" w:hAnsi="Arial" w:cs="Arial"/>
          <w:sz w:val="24"/>
          <w:szCs w:val="24"/>
        </w:rPr>
        <w:t xml:space="preserve">. </w:t>
      </w:r>
      <w:r w:rsidRPr="00586553">
        <w:rPr>
          <w:rFonts w:ascii="Arial" w:hAnsi="Arial" w:cs="Arial"/>
          <w:sz w:val="24"/>
          <w:szCs w:val="24"/>
        </w:rPr>
        <w:t>A weekly newsletter send out in a range of forms has allowed our EAL parents and carers to easily translate the information and keep upto date with what is happening in the Academy.</w:t>
      </w:r>
      <w:r w:rsidRPr="00586553">
        <w:rPr>
          <w:rFonts w:ascii="Arial" w:hAnsi="Arial" w:cs="Arial"/>
          <w:sz w:val="24"/>
          <w:szCs w:val="24"/>
        </w:rPr>
        <w:t xml:space="preserve"> We also post key messages on </w:t>
      </w:r>
      <w:r w:rsidRPr="00586553">
        <w:rPr>
          <w:rFonts w:ascii="Arial" w:hAnsi="Arial" w:cs="Arial"/>
          <w:sz w:val="24"/>
          <w:szCs w:val="24"/>
        </w:rPr>
        <w:t xml:space="preserve">class window and at all entrances to the academy building. </w:t>
      </w:r>
      <w:r w:rsidRPr="00586553">
        <w:rPr>
          <w:rFonts w:ascii="Arial" w:hAnsi="Arial" w:cs="Arial"/>
          <w:sz w:val="24"/>
          <w:szCs w:val="24"/>
        </w:rPr>
        <w:t xml:space="preserve"> Key information has been shared with parents at open meetings to discuss information an</w:t>
      </w:r>
      <w:r w:rsidRPr="00586553">
        <w:rPr>
          <w:rFonts w:ascii="Arial" w:hAnsi="Arial" w:cs="Arial"/>
          <w:sz w:val="24"/>
          <w:szCs w:val="24"/>
        </w:rPr>
        <w:t>d content regarding the</w:t>
      </w:r>
      <w:r w:rsidRPr="00586553">
        <w:rPr>
          <w:rFonts w:ascii="Arial" w:hAnsi="Arial" w:cs="Arial"/>
          <w:sz w:val="24"/>
          <w:szCs w:val="24"/>
        </w:rPr>
        <w:t xml:space="preserve"> curriculum.</w:t>
      </w:r>
      <w:r w:rsidRPr="00586553">
        <w:rPr>
          <w:rFonts w:ascii="Arial" w:hAnsi="Arial" w:cs="Arial"/>
          <w:sz w:val="24"/>
          <w:szCs w:val="24"/>
        </w:rPr>
        <w:t xml:space="preserve"> Our Pastoral team has played a key part in our communication with our hard to reach parents with phone calls, </w:t>
      </w:r>
      <w:r w:rsidR="00586553" w:rsidRPr="00586553">
        <w:rPr>
          <w:rFonts w:ascii="Arial" w:hAnsi="Arial" w:cs="Arial"/>
          <w:sz w:val="24"/>
          <w:szCs w:val="24"/>
        </w:rPr>
        <w:t>face-to-face</w:t>
      </w:r>
      <w:r w:rsidRPr="00586553">
        <w:rPr>
          <w:rFonts w:ascii="Arial" w:hAnsi="Arial" w:cs="Arial"/>
          <w:sz w:val="24"/>
          <w:szCs w:val="24"/>
        </w:rPr>
        <w:t xml:space="preserve"> meetings and home visits.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A08E8" w:rsidRPr="00586553" w14:paraId="5283F4C6" w14:textId="77777777" w:rsidTr="00EA08E8">
        <w:tc>
          <w:tcPr>
            <w:tcW w:w="13948" w:type="dxa"/>
            <w:shd w:val="clear" w:color="auto" w:fill="DEEAF6" w:themeFill="accent1" w:themeFillTint="33"/>
          </w:tcPr>
          <w:p w14:paraId="455B16BC" w14:textId="498AABF9" w:rsidR="00EA08E8" w:rsidRPr="00586553" w:rsidRDefault="00EA08E8" w:rsidP="00EA0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6553">
              <w:rPr>
                <w:rFonts w:ascii="Arial" w:hAnsi="Arial" w:cs="Arial"/>
                <w:b/>
                <w:sz w:val="28"/>
                <w:szCs w:val="28"/>
              </w:rPr>
              <w:t>The Disability Equality Accessibility Plan 2020-2023</w:t>
            </w:r>
          </w:p>
        </w:tc>
      </w:tr>
    </w:tbl>
    <w:p w14:paraId="62F2D172" w14:textId="77777777" w:rsidR="002923B6" w:rsidRPr="00586553" w:rsidRDefault="002923B6" w:rsidP="00EA08E8">
      <w:pPr>
        <w:jc w:val="center"/>
        <w:rPr>
          <w:rFonts w:ascii="Arial" w:hAnsi="Arial" w:cs="Arial"/>
          <w:sz w:val="24"/>
          <w:szCs w:val="24"/>
        </w:rPr>
      </w:pPr>
    </w:p>
    <w:p w14:paraId="02124288" w14:textId="6B040848" w:rsidR="002C47DD" w:rsidRPr="00586553" w:rsidRDefault="00886C53" w:rsidP="00A36881">
      <w:pPr>
        <w:rPr>
          <w:rFonts w:ascii="Arial" w:hAnsi="Arial" w:cs="Arial"/>
          <w:b/>
          <w:sz w:val="24"/>
          <w:szCs w:val="24"/>
        </w:rPr>
      </w:pPr>
      <w:r w:rsidRPr="00586553">
        <w:rPr>
          <w:rFonts w:ascii="Arial" w:hAnsi="Arial" w:cs="Arial"/>
          <w:b/>
          <w:sz w:val="24"/>
          <w:szCs w:val="24"/>
        </w:rPr>
        <w:t>Improving access to the c</w:t>
      </w:r>
      <w:r w:rsidR="00A36881" w:rsidRPr="00586553">
        <w:rPr>
          <w:rFonts w:ascii="Arial" w:hAnsi="Arial" w:cs="Arial"/>
          <w:b/>
          <w:sz w:val="24"/>
          <w:szCs w:val="24"/>
        </w:rPr>
        <w:t>urriculum</w:t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070"/>
        <w:gridCol w:w="3379"/>
        <w:gridCol w:w="3942"/>
        <w:gridCol w:w="3523"/>
        <w:gridCol w:w="1838"/>
        <w:gridCol w:w="849"/>
      </w:tblGrid>
      <w:tr w:rsidR="00645E03" w:rsidRPr="00586553" w14:paraId="0212428E" w14:textId="44D89DCD" w:rsidTr="00645E03">
        <w:tc>
          <w:tcPr>
            <w:tcW w:w="993" w:type="dxa"/>
          </w:tcPr>
          <w:p w14:paraId="2D24C40D" w14:textId="77777777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3AE1C3" w14:textId="12143AE9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Targets</w:t>
            </w:r>
          </w:p>
          <w:p w14:paraId="0212428A" w14:textId="1D9B132A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12428B" w14:textId="77777777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Strategies</w:t>
            </w:r>
          </w:p>
        </w:tc>
        <w:tc>
          <w:tcPr>
            <w:tcW w:w="3544" w:type="dxa"/>
          </w:tcPr>
          <w:p w14:paraId="0212428C" w14:textId="77777777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</w:tc>
        <w:tc>
          <w:tcPr>
            <w:tcW w:w="1843" w:type="dxa"/>
          </w:tcPr>
          <w:p w14:paraId="0212428D" w14:textId="77777777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850" w:type="dxa"/>
          </w:tcPr>
          <w:p w14:paraId="452A952B" w14:textId="16DB3C6F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886C53" w:rsidRPr="00586553" w14:paraId="4386C5E0" w14:textId="77777777" w:rsidTr="00645E03">
        <w:tc>
          <w:tcPr>
            <w:tcW w:w="993" w:type="dxa"/>
          </w:tcPr>
          <w:p w14:paraId="3A3650A4" w14:textId="77777777" w:rsidR="00886C53" w:rsidRPr="00586553" w:rsidRDefault="00886C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Short</w:t>
            </w:r>
          </w:p>
          <w:p w14:paraId="6558E0B2" w14:textId="50C08835" w:rsidR="00886C53" w:rsidRPr="00586553" w:rsidRDefault="00886C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Term</w:t>
            </w:r>
          </w:p>
        </w:tc>
        <w:tc>
          <w:tcPr>
            <w:tcW w:w="3402" w:type="dxa"/>
          </w:tcPr>
          <w:p w14:paraId="3EEF3646" w14:textId="38E65E84" w:rsidR="00886C53" w:rsidRPr="00586553" w:rsidRDefault="005865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 xml:space="preserve">To increase </w:t>
            </w:r>
            <w:r w:rsidR="00886C53" w:rsidRPr="00586553">
              <w:rPr>
                <w:rFonts w:ascii="Arial" w:hAnsi="Arial" w:cs="Arial"/>
                <w:sz w:val="24"/>
                <w:szCs w:val="24"/>
              </w:rPr>
              <w:t xml:space="preserve">the appropriate use of specialist equipment for staff and pupils </w:t>
            </w:r>
          </w:p>
        </w:tc>
        <w:tc>
          <w:tcPr>
            <w:tcW w:w="3969" w:type="dxa"/>
          </w:tcPr>
          <w:p w14:paraId="1EF21398" w14:textId="77777777" w:rsidR="00886C53" w:rsidRPr="00586553" w:rsidRDefault="00886C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Reasonable adjustments to classroom environments.</w:t>
            </w:r>
          </w:p>
          <w:p w14:paraId="7A0203E0" w14:textId="3899F9A8" w:rsidR="00886C53" w:rsidRPr="00586553" w:rsidRDefault="00886C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Purchase a range of SEND resources for pupil use</w:t>
            </w:r>
          </w:p>
        </w:tc>
        <w:tc>
          <w:tcPr>
            <w:tcW w:w="3544" w:type="dxa"/>
          </w:tcPr>
          <w:p w14:paraId="452F6261" w14:textId="77777777" w:rsidR="00886C53" w:rsidRPr="00586553" w:rsidRDefault="00886C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Increased access to the curriculum.</w:t>
            </w:r>
          </w:p>
          <w:p w14:paraId="3A5BB085" w14:textId="55EDD3D0" w:rsidR="00886C53" w:rsidRPr="00586553" w:rsidRDefault="00886C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Needs of all learners met.</w:t>
            </w:r>
          </w:p>
        </w:tc>
        <w:tc>
          <w:tcPr>
            <w:tcW w:w="1843" w:type="dxa"/>
          </w:tcPr>
          <w:p w14:paraId="18B249F9" w14:textId="77777777" w:rsidR="00586553" w:rsidRPr="00586553" w:rsidRDefault="005865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1:1 training ongoing</w:t>
            </w:r>
          </w:p>
          <w:p w14:paraId="6A8FB9CD" w14:textId="11076B9F" w:rsidR="00886C53" w:rsidRPr="00586553" w:rsidRDefault="005865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CPD slots on the training plan</w:t>
            </w:r>
          </w:p>
        </w:tc>
        <w:tc>
          <w:tcPr>
            <w:tcW w:w="850" w:type="dxa"/>
          </w:tcPr>
          <w:p w14:paraId="26D7E55C" w14:textId="01F3602F" w:rsidR="00886C53" w:rsidRPr="00586553" w:rsidRDefault="00886C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API</w:t>
            </w:r>
          </w:p>
        </w:tc>
      </w:tr>
      <w:tr w:rsidR="00886C53" w:rsidRPr="00586553" w14:paraId="021242E6" w14:textId="2DD7138A" w:rsidTr="00645E03">
        <w:tc>
          <w:tcPr>
            <w:tcW w:w="993" w:type="dxa"/>
          </w:tcPr>
          <w:p w14:paraId="0AFF9525" w14:textId="77777777" w:rsidR="00886C53" w:rsidRPr="00586553" w:rsidRDefault="00886C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Medium</w:t>
            </w:r>
          </w:p>
          <w:p w14:paraId="322EE48B" w14:textId="0A0963E4" w:rsidR="00886C53" w:rsidRPr="00586553" w:rsidRDefault="00886C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Term</w:t>
            </w:r>
          </w:p>
        </w:tc>
        <w:tc>
          <w:tcPr>
            <w:tcW w:w="3402" w:type="dxa"/>
          </w:tcPr>
          <w:p w14:paraId="5F2417CE" w14:textId="569CD21B" w:rsidR="00886C53" w:rsidRPr="00586553" w:rsidRDefault="00EA08E8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 xml:space="preserve">To ensure all </w:t>
            </w:r>
            <w:r w:rsidR="00586553" w:rsidRPr="00586553">
              <w:rPr>
                <w:rFonts w:ascii="Arial" w:hAnsi="Arial" w:cs="Arial"/>
                <w:sz w:val="24"/>
                <w:szCs w:val="24"/>
              </w:rPr>
              <w:t>extra-curricular</w:t>
            </w:r>
          </w:p>
          <w:p w14:paraId="021242CA" w14:textId="05B8CC9B" w:rsidR="00886C53" w:rsidRPr="00586553" w:rsidRDefault="00EA08E8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activities offered are accessible to SEND pupils</w:t>
            </w:r>
          </w:p>
        </w:tc>
        <w:tc>
          <w:tcPr>
            <w:tcW w:w="3969" w:type="dxa"/>
          </w:tcPr>
          <w:p w14:paraId="021242D3" w14:textId="225D7B69" w:rsidR="00886C53" w:rsidRPr="00586553" w:rsidRDefault="00886C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To review the extracurricular activities offered to pupils</w:t>
            </w:r>
          </w:p>
        </w:tc>
        <w:tc>
          <w:tcPr>
            <w:tcW w:w="3544" w:type="dxa"/>
          </w:tcPr>
          <w:p w14:paraId="021242D9" w14:textId="27C893E1" w:rsidR="00886C53" w:rsidRPr="00586553" w:rsidRDefault="00886C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Extracurricular activities offered are inclusive</w:t>
            </w:r>
          </w:p>
        </w:tc>
        <w:tc>
          <w:tcPr>
            <w:tcW w:w="1843" w:type="dxa"/>
          </w:tcPr>
          <w:p w14:paraId="021242E5" w14:textId="56BF2934" w:rsidR="00886C53" w:rsidRPr="00586553" w:rsidRDefault="00EA08E8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July 2021</w:t>
            </w:r>
          </w:p>
        </w:tc>
        <w:tc>
          <w:tcPr>
            <w:tcW w:w="850" w:type="dxa"/>
          </w:tcPr>
          <w:p w14:paraId="2F154EC1" w14:textId="1DA6C426" w:rsidR="00886C53" w:rsidRPr="00586553" w:rsidRDefault="00886C53" w:rsidP="00886C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SLT</w:t>
            </w:r>
          </w:p>
        </w:tc>
      </w:tr>
      <w:tr w:rsidR="00645E03" w:rsidRPr="00586553" w14:paraId="688655E6" w14:textId="77777777" w:rsidTr="00645E03">
        <w:tc>
          <w:tcPr>
            <w:tcW w:w="993" w:type="dxa"/>
          </w:tcPr>
          <w:p w14:paraId="1D6D1E12" w14:textId="77777777" w:rsidR="00645E03" w:rsidRPr="00586553" w:rsidRDefault="00645E0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Long</w:t>
            </w:r>
          </w:p>
          <w:p w14:paraId="0A0A9BC3" w14:textId="63DE4F20" w:rsidR="00645E03" w:rsidRPr="00586553" w:rsidRDefault="00645E0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Term</w:t>
            </w:r>
          </w:p>
        </w:tc>
        <w:tc>
          <w:tcPr>
            <w:tcW w:w="3402" w:type="dxa"/>
          </w:tcPr>
          <w:p w14:paraId="202EABDC" w14:textId="1AB19423" w:rsidR="00645E03" w:rsidRPr="00586553" w:rsidRDefault="00645E03" w:rsidP="00EA08E8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EA08E8" w:rsidRPr="00586553">
              <w:rPr>
                <w:rFonts w:ascii="Arial" w:hAnsi="Arial" w:cs="Arial"/>
                <w:sz w:val="24"/>
                <w:szCs w:val="24"/>
              </w:rPr>
              <w:t>ensure all educational visits are accessible to SEND pupils</w:t>
            </w:r>
          </w:p>
        </w:tc>
        <w:tc>
          <w:tcPr>
            <w:tcW w:w="3969" w:type="dxa"/>
          </w:tcPr>
          <w:p w14:paraId="15694917" w14:textId="77777777" w:rsidR="00586553" w:rsidRPr="00586553" w:rsidRDefault="00645E0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Training for teachers on aspects of SEND</w:t>
            </w:r>
            <w:r w:rsidR="00586553" w:rsidRPr="0058655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83DC75" w14:textId="3147EC95" w:rsidR="00645E03" w:rsidRPr="00586553" w:rsidRDefault="0058655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Staff to liaise with SENCO when visits are planned</w:t>
            </w:r>
          </w:p>
        </w:tc>
        <w:tc>
          <w:tcPr>
            <w:tcW w:w="3544" w:type="dxa"/>
          </w:tcPr>
          <w:p w14:paraId="12AD3D90" w14:textId="51DD6A30" w:rsidR="00645E03" w:rsidRPr="00586553" w:rsidRDefault="00586553" w:rsidP="005865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 xml:space="preserve">All pupils </w:t>
            </w:r>
            <w:r w:rsidR="00645E03" w:rsidRPr="00586553">
              <w:rPr>
                <w:rFonts w:ascii="Arial" w:hAnsi="Arial" w:cs="Arial"/>
                <w:sz w:val="24"/>
                <w:szCs w:val="24"/>
              </w:rPr>
              <w:t xml:space="preserve">access </w:t>
            </w:r>
            <w:r w:rsidRPr="00586553">
              <w:rPr>
                <w:rFonts w:ascii="Arial" w:hAnsi="Arial" w:cs="Arial"/>
                <w:sz w:val="24"/>
                <w:szCs w:val="24"/>
              </w:rPr>
              <w:t>educational visits</w:t>
            </w:r>
          </w:p>
        </w:tc>
        <w:tc>
          <w:tcPr>
            <w:tcW w:w="1843" w:type="dxa"/>
          </w:tcPr>
          <w:p w14:paraId="1B1F749D" w14:textId="77777777" w:rsidR="00645E03" w:rsidRPr="00586553" w:rsidRDefault="00645E0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850" w:type="dxa"/>
          </w:tcPr>
          <w:p w14:paraId="20C96076" w14:textId="77777777" w:rsidR="00645E03" w:rsidRPr="00586553" w:rsidRDefault="00645E0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API</w:t>
            </w:r>
          </w:p>
        </w:tc>
      </w:tr>
    </w:tbl>
    <w:p w14:paraId="0212430B" w14:textId="7FC103D0" w:rsidR="00A36881" w:rsidRPr="00586553" w:rsidRDefault="00A36881" w:rsidP="00A36881">
      <w:pPr>
        <w:rPr>
          <w:rFonts w:ascii="Arial" w:hAnsi="Arial" w:cs="Arial"/>
          <w:sz w:val="24"/>
          <w:szCs w:val="24"/>
        </w:rPr>
      </w:pPr>
    </w:p>
    <w:p w14:paraId="0212430C" w14:textId="77777777" w:rsidR="00A36881" w:rsidRPr="00586553" w:rsidRDefault="00A36881" w:rsidP="00A36881">
      <w:pPr>
        <w:rPr>
          <w:rFonts w:ascii="Arial" w:hAnsi="Arial" w:cs="Arial"/>
          <w:b/>
          <w:sz w:val="24"/>
          <w:szCs w:val="24"/>
        </w:rPr>
      </w:pPr>
      <w:r w:rsidRPr="00586553">
        <w:rPr>
          <w:rFonts w:ascii="Arial" w:hAnsi="Arial" w:cs="Arial"/>
          <w:b/>
          <w:sz w:val="24"/>
          <w:szCs w:val="24"/>
        </w:rPr>
        <w:t>Physical improvements to the environment</w:t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071"/>
        <w:gridCol w:w="3318"/>
        <w:gridCol w:w="3822"/>
        <w:gridCol w:w="3428"/>
        <w:gridCol w:w="1772"/>
        <w:gridCol w:w="1190"/>
      </w:tblGrid>
      <w:tr w:rsidR="00645E03" w:rsidRPr="00586553" w14:paraId="02124312" w14:textId="07BE5B5F" w:rsidTr="00645E03">
        <w:tc>
          <w:tcPr>
            <w:tcW w:w="993" w:type="dxa"/>
          </w:tcPr>
          <w:p w14:paraId="151376BC" w14:textId="77777777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D759C0" w14:textId="55360966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Targets</w:t>
            </w:r>
          </w:p>
          <w:p w14:paraId="0212430E" w14:textId="0AB5219E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12430F" w14:textId="77777777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Strategies</w:t>
            </w:r>
          </w:p>
        </w:tc>
        <w:tc>
          <w:tcPr>
            <w:tcW w:w="3544" w:type="dxa"/>
          </w:tcPr>
          <w:p w14:paraId="02124310" w14:textId="77777777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</w:tc>
        <w:tc>
          <w:tcPr>
            <w:tcW w:w="1793" w:type="dxa"/>
          </w:tcPr>
          <w:p w14:paraId="02124311" w14:textId="77777777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900" w:type="dxa"/>
          </w:tcPr>
          <w:p w14:paraId="2CC412EB" w14:textId="6277613E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645E03" w:rsidRPr="00586553" w14:paraId="73A95B60" w14:textId="77777777" w:rsidTr="00645E03">
        <w:tc>
          <w:tcPr>
            <w:tcW w:w="993" w:type="dxa"/>
          </w:tcPr>
          <w:p w14:paraId="30567238" w14:textId="77777777" w:rsidR="00645E03" w:rsidRPr="00586553" w:rsidRDefault="00645E0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Short</w:t>
            </w:r>
          </w:p>
          <w:p w14:paraId="2B7FD6DE" w14:textId="4BAE4AA3" w:rsidR="00645E03" w:rsidRPr="00586553" w:rsidRDefault="00645E0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Term</w:t>
            </w:r>
          </w:p>
        </w:tc>
        <w:tc>
          <w:tcPr>
            <w:tcW w:w="3402" w:type="dxa"/>
          </w:tcPr>
          <w:p w14:paraId="29BB8F06" w14:textId="537E3338" w:rsidR="00645E03" w:rsidRPr="00586553" w:rsidRDefault="00645E0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All outside surfaces are even and slip resistant</w:t>
            </w:r>
          </w:p>
        </w:tc>
        <w:tc>
          <w:tcPr>
            <w:tcW w:w="3969" w:type="dxa"/>
          </w:tcPr>
          <w:p w14:paraId="1B6AA0AA" w14:textId="6F4FDE73" w:rsidR="00645E03" w:rsidRPr="00586553" w:rsidRDefault="00645E0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Building and Estates coordinate grounds repairs</w:t>
            </w:r>
          </w:p>
        </w:tc>
        <w:tc>
          <w:tcPr>
            <w:tcW w:w="3544" w:type="dxa"/>
          </w:tcPr>
          <w:p w14:paraId="64A2582C" w14:textId="7FE56CF9" w:rsidR="00645E03" w:rsidRPr="00586553" w:rsidRDefault="00645E0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No pot holes in academy grounds</w:t>
            </w:r>
          </w:p>
        </w:tc>
        <w:tc>
          <w:tcPr>
            <w:tcW w:w="1793" w:type="dxa"/>
          </w:tcPr>
          <w:p w14:paraId="431D7596" w14:textId="049764FA" w:rsidR="00645E03" w:rsidRPr="00586553" w:rsidRDefault="0058655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900" w:type="dxa"/>
          </w:tcPr>
          <w:p w14:paraId="5C34E105" w14:textId="4C307F45" w:rsidR="00645E03" w:rsidRPr="00586553" w:rsidRDefault="00645E0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Building and Estates</w:t>
            </w:r>
          </w:p>
        </w:tc>
      </w:tr>
      <w:tr w:rsidR="00645E03" w:rsidRPr="00586553" w14:paraId="1CE4D807" w14:textId="77777777" w:rsidTr="00645E03">
        <w:tc>
          <w:tcPr>
            <w:tcW w:w="993" w:type="dxa"/>
          </w:tcPr>
          <w:p w14:paraId="4DA0BE27" w14:textId="7E11F55B" w:rsidR="00645E03" w:rsidRPr="00586553" w:rsidRDefault="00645E03" w:rsidP="00C25679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Medium term</w:t>
            </w:r>
          </w:p>
        </w:tc>
        <w:tc>
          <w:tcPr>
            <w:tcW w:w="3402" w:type="dxa"/>
          </w:tcPr>
          <w:p w14:paraId="55CABF75" w14:textId="45CFBD5F" w:rsidR="00645E03" w:rsidRPr="00586553" w:rsidRDefault="00645E03" w:rsidP="00C25679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Gate entry phone/key pad suitably illuminated</w:t>
            </w:r>
          </w:p>
        </w:tc>
        <w:tc>
          <w:tcPr>
            <w:tcW w:w="3969" w:type="dxa"/>
          </w:tcPr>
          <w:p w14:paraId="5E1FCD5C" w14:textId="7C1C6242" w:rsidR="00645E03" w:rsidRPr="00586553" w:rsidRDefault="00645E0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Additional lighting to be installed</w:t>
            </w:r>
          </w:p>
        </w:tc>
        <w:tc>
          <w:tcPr>
            <w:tcW w:w="3544" w:type="dxa"/>
          </w:tcPr>
          <w:p w14:paraId="051624CF" w14:textId="720748FC" w:rsidR="00645E03" w:rsidRPr="00586553" w:rsidRDefault="00645E0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Gate entry keypad/light easily seen at night for easy use</w:t>
            </w:r>
          </w:p>
        </w:tc>
        <w:tc>
          <w:tcPr>
            <w:tcW w:w="1793" w:type="dxa"/>
          </w:tcPr>
          <w:p w14:paraId="3D8EB945" w14:textId="4B856811" w:rsidR="00645E03" w:rsidRPr="00586553" w:rsidRDefault="0058655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December 2020</w:t>
            </w:r>
          </w:p>
        </w:tc>
        <w:tc>
          <w:tcPr>
            <w:tcW w:w="900" w:type="dxa"/>
          </w:tcPr>
          <w:p w14:paraId="27665C04" w14:textId="16AD6B2F" w:rsidR="00645E03" w:rsidRPr="00586553" w:rsidRDefault="00645E03" w:rsidP="00645E0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Business Manager</w:t>
            </w:r>
          </w:p>
        </w:tc>
      </w:tr>
      <w:tr w:rsidR="00645E03" w:rsidRPr="00586553" w14:paraId="5B72B2CC" w14:textId="77777777" w:rsidTr="00645E03">
        <w:tc>
          <w:tcPr>
            <w:tcW w:w="993" w:type="dxa"/>
          </w:tcPr>
          <w:p w14:paraId="4BC04745" w14:textId="6BA41DCB" w:rsidR="00645E03" w:rsidRPr="00586553" w:rsidRDefault="00645E03" w:rsidP="00FF20C6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Long term</w:t>
            </w:r>
          </w:p>
        </w:tc>
        <w:tc>
          <w:tcPr>
            <w:tcW w:w="3402" w:type="dxa"/>
          </w:tcPr>
          <w:p w14:paraId="02887EB9" w14:textId="67ECAD6D" w:rsidR="00645E03" w:rsidRPr="00586553" w:rsidRDefault="00645E03" w:rsidP="00FF20C6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To improve internal/external academy signage.</w:t>
            </w:r>
          </w:p>
        </w:tc>
        <w:tc>
          <w:tcPr>
            <w:tcW w:w="3969" w:type="dxa"/>
          </w:tcPr>
          <w:p w14:paraId="497225A5" w14:textId="11E86004" w:rsidR="00645E03" w:rsidRPr="00586553" w:rsidRDefault="00645E03" w:rsidP="00A36881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Additional signage installed</w:t>
            </w:r>
          </w:p>
        </w:tc>
        <w:tc>
          <w:tcPr>
            <w:tcW w:w="3544" w:type="dxa"/>
          </w:tcPr>
          <w:p w14:paraId="3B1B0BC0" w14:textId="7F213487" w:rsidR="00645E03" w:rsidRPr="00586553" w:rsidRDefault="00645E03" w:rsidP="00A36881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Significant areas of the academy has appropriate signage ensuring easy navigation of building</w:t>
            </w:r>
          </w:p>
        </w:tc>
        <w:tc>
          <w:tcPr>
            <w:tcW w:w="1793" w:type="dxa"/>
          </w:tcPr>
          <w:p w14:paraId="179EA94E" w14:textId="727C050F" w:rsidR="00645E03" w:rsidRPr="00586553" w:rsidRDefault="00645E03" w:rsidP="00A36881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900" w:type="dxa"/>
          </w:tcPr>
          <w:p w14:paraId="3CD1E609" w14:textId="6925CE1C" w:rsidR="00645E03" w:rsidRPr="00586553" w:rsidRDefault="00645E03" w:rsidP="00A36881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Business Manager</w:t>
            </w:r>
          </w:p>
        </w:tc>
      </w:tr>
    </w:tbl>
    <w:p w14:paraId="6936C840" w14:textId="77777777" w:rsidR="00886C53" w:rsidRPr="00586553" w:rsidRDefault="00886C53" w:rsidP="00A36881">
      <w:pPr>
        <w:rPr>
          <w:rFonts w:ascii="Arial" w:hAnsi="Arial" w:cs="Arial"/>
          <w:sz w:val="24"/>
          <w:szCs w:val="24"/>
        </w:rPr>
      </w:pPr>
    </w:p>
    <w:p w14:paraId="0212437C" w14:textId="76754A0D" w:rsidR="00251BC2" w:rsidRPr="00586553" w:rsidRDefault="00886C53" w:rsidP="00A36881">
      <w:pPr>
        <w:rPr>
          <w:rFonts w:ascii="Arial" w:hAnsi="Arial" w:cs="Arial"/>
          <w:b/>
          <w:sz w:val="24"/>
          <w:szCs w:val="24"/>
        </w:rPr>
      </w:pPr>
      <w:r w:rsidRPr="00586553">
        <w:rPr>
          <w:rFonts w:ascii="Arial" w:hAnsi="Arial" w:cs="Arial"/>
          <w:b/>
          <w:sz w:val="24"/>
          <w:szCs w:val="24"/>
        </w:rPr>
        <w:t>Improving provision of i</w:t>
      </w:r>
      <w:r w:rsidR="00251BC2" w:rsidRPr="00586553">
        <w:rPr>
          <w:rFonts w:ascii="Arial" w:hAnsi="Arial" w:cs="Arial"/>
          <w:b/>
          <w:sz w:val="24"/>
          <w:szCs w:val="24"/>
        </w:rPr>
        <w:t>nformation</w:t>
      </w:r>
    </w:p>
    <w:tbl>
      <w:tblPr>
        <w:tblStyle w:val="TableGrid"/>
        <w:tblW w:w="14569" w:type="dxa"/>
        <w:tblInd w:w="-5" w:type="dxa"/>
        <w:tblLook w:val="04A0" w:firstRow="1" w:lastRow="0" w:firstColumn="1" w:lastColumn="0" w:noHBand="0" w:noVBand="1"/>
      </w:tblPr>
      <w:tblGrid>
        <w:gridCol w:w="1071"/>
        <w:gridCol w:w="3338"/>
        <w:gridCol w:w="3768"/>
        <w:gridCol w:w="3457"/>
        <w:gridCol w:w="1825"/>
        <w:gridCol w:w="1110"/>
      </w:tblGrid>
      <w:tr w:rsidR="00645E03" w:rsidRPr="00586553" w14:paraId="02124382" w14:textId="69A0C261" w:rsidTr="00886C53">
        <w:tc>
          <w:tcPr>
            <w:tcW w:w="993" w:type="dxa"/>
            <w:tcBorders>
              <w:top w:val="single" w:sz="4" w:space="0" w:color="auto"/>
            </w:tcBorders>
          </w:tcPr>
          <w:p w14:paraId="0D55829E" w14:textId="77777777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75ECD47" w14:textId="5DA490D7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Targets</w:t>
            </w:r>
          </w:p>
          <w:p w14:paraId="0212437E" w14:textId="2AF3D5D3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212437F" w14:textId="77777777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Strategies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2124380" w14:textId="77777777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2124381" w14:textId="77777777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574DE3F8" w14:textId="7ED15474" w:rsidR="00645E03" w:rsidRPr="00586553" w:rsidRDefault="00645E03" w:rsidP="00645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553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645E03" w:rsidRPr="00586553" w14:paraId="021243A8" w14:textId="622F8E0A" w:rsidTr="00645E03">
        <w:tc>
          <w:tcPr>
            <w:tcW w:w="993" w:type="dxa"/>
          </w:tcPr>
          <w:p w14:paraId="0EA07027" w14:textId="70207DB8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Short Term</w:t>
            </w:r>
          </w:p>
        </w:tc>
        <w:tc>
          <w:tcPr>
            <w:tcW w:w="3402" w:type="dxa"/>
          </w:tcPr>
          <w:p w14:paraId="0212438B" w14:textId="7DCBCDBB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To improve</w:t>
            </w:r>
          </w:p>
          <w:p w14:paraId="0212438C" w14:textId="224C9151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communication with pupils and parents</w:t>
            </w:r>
          </w:p>
          <w:p w14:paraId="0212438E" w14:textId="3FA1DC9A" w:rsidR="00645E03" w:rsidRPr="00586553" w:rsidRDefault="00645E03" w:rsidP="00797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124396" w14:textId="4961B76F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Ensure academy</w:t>
            </w:r>
            <w:r w:rsidR="00586553" w:rsidRPr="00586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6553">
              <w:rPr>
                <w:rFonts w:ascii="Arial" w:hAnsi="Arial" w:cs="Arial"/>
                <w:sz w:val="24"/>
                <w:szCs w:val="24"/>
              </w:rPr>
              <w:t>website is clear,</w:t>
            </w:r>
            <w:r w:rsidR="00586553" w:rsidRPr="00586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6553">
              <w:rPr>
                <w:rFonts w:ascii="Arial" w:hAnsi="Arial" w:cs="Arial"/>
                <w:sz w:val="24"/>
                <w:szCs w:val="24"/>
              </w:rPr>
              <w:t>simple and easy to use.</w:t>
            </w:r>
          </w:p>
          <w:p w14:paraId="16755637" w14:textId="2E79358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742B2" w14:textId="60C66712" w:rsidR="00645E03" w:rsidRPr="00586553" w:rsidRDefault="00586553" w:rsidP="00251BC2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Use of a range of</w:t>
            </w:r>
            <w:r w:rsidR="00645E03" w:rsidRPr="00586553">
              <w:rPr>
                <w:rFonts w:ascii="Arial" w:hAnsi="Arial" w:cs="Arial"/>
                <w:sz w:val="24"/>
                <w:szCs w:val="24"/>
              </w:rPr>
              <w:t xml:space="preserve"> media to keep parents informed</w:t>
            </w:r>
          </w:p>
          <w:p w14:paraId="5BDA677A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A72D5" w14:textId="5948EAB5" w:rsidR="00645E03" w:rsidRPr="00586553" w:rsidRDefault="00586553" w:rsidP="00251BC2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Produce updated</w:t>
            </w:r>
            <w:r w:rsidR="00645E03" w:rsidRPr="00586553">
              <w:rPr>
                <w:rFonts w:ascii="Arial" w:hAnsi="Arial" w:cs="Arial"/>
                <w:sz w:val="24"/>
                <w:szCs w:val="24"/>
              </w:rPr>
              <w:t xml:space="preserve"> school prospectus</w:t>
            </w:r>
          </w:p>
          <w:p w14:paraId="4862ACC5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2439C" w14:textId="013DEDBA" w:rsidR="00645E03" w:rsidRPr="00586553" w:rsidRDefault="00645E03" w:rsidP="005865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Weekly academy newsletter</w:t>
            </w:r>
          </w:p>
        </w:tc>
        <w:tc>
          <w:tcPr>
            <w:tcW w:w="3544" w:type="dxa"/>
          </w:tcPr>
          <w:p w14:paraId="0212439D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Increased number</w:t>
            </w:r>
          </w:p>
          <w:p w14:paraId="0212439E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of visits to website</w:t>
            </w:r>
          </w:p>
          <w:p w14:paraId="0212439F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243A0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243A1" w14:textId="77777777" w:rsidR="00645E03" w:rsidRPr="00586553" w:rsidRDefault="00645E03" w:rsidP="006F03DF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Increased variety of information available</w:t>
            </w:r>
          </w:p>
        </w:tc>
        <w:tc>
          <w:tcPr>
            <w:tcW w:w="1842" w:type="dxa"/>
          </w:tcPr>
          <w:p w14:paraId="021243A2" w14:textId="1D63B540" w:rsidR="00645E03" w:rsidRPr="00586553" w:rsidRDefault="00586553" w:rsidP="006F03DF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ongoing</w:t>
            </w:r>
          </w:p>
          <w:p w14:paraId="021243A3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243A4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243A5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243A6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33E7E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66B68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36540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243A7" w14:textId="16112CE1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14:paraId="5568F384" w14:textId="32BDB2CD" w:rsidR="00645E03" w:rsidRPr="00586553" w:rsidRDefault="00645E03" w:rsidP="006F03DF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SLT/CC</w:t>
            </w:r>
          </w:p>
        </w:tc>
      </w:tr>
      <w:tr w:rsidR="00645E03" w:rsidRPr="00586553" w14:paraId="021243BD" w14:textId="3652FFA5" w:rsidTr="00645E03">
        <w:tc>
          <w:tcPr>
            <w:tcW w:w="993" w:type="dxa"/>
          </w:tcPr>
          <w:p w14:paraId="38073DAD" w14:textId="63B33AB0" w:rsidR="00645E03" w:rsidRPr="00586553" w:rsidRDefault="00586553" w:rsidP="009034D5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 xml:space="preserve">Medium </w:t>
            </w:r>
            <w:r w:rsidR="00645E03" w:rsidRPr="00586553">
              <w:rPr>
                <w:rFonts w:ascii="Arial" w:hAnsi="Arial" w:cs="Arial"/>
                <w:sz w:val="24"/>
                <w:szCs w:val="24"/>
              </w:rPr>
              <w:t>Term</w:t>
            </w:r>
          </w:p>
        </w:tc>
        <w:tc>
          <w:tcPr>
            <w:tcW w:w="3402" w:type="dxa"/>
          </w:tcPr>
          <w:p w14:paraId="021243B5" w14:textId="4DB86ACB" w:rsidR="00645E03" w:rsidRPr="00586553" w:rsidRDefault="00645E03" w:rsidP="00586553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86553" w:rsidRPr="00586553">
              <w:rPr>
                <w:rFonts w:ascii="Arial" w:hAnsi="Arial" w:cs="Arial"/>
                <w:sz w:val="24"/>
                <w:szCs w:val="24"/>
              </w:rPr>
              <w:t>provide staff with access to programmes that can translate information for pupils and parents</w:t>
            </w:r>
          </w:p>
        </w:tc>
        <w:tc>
          <w:tcPr>
            <w:tcW w:w="3827" w:type="dxa"/>
          </w:tcPr>
          <w:p w14:paraId="54282C1D" w14:textId="7E91C9C5" w:rsidR="00645E03" w:rsidRPr="00586553" w:rsidRDefault="00586553" w:rsidP="00251BC2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Ensure all staff have access to Microsoft translate</w:t>
            </w:r>
          </w:p>
          <w:p w14:paraId="4910F5A3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Research alternative formats available</w:t>
            </w:r>
          </w:p>
          <w:p w14:paraId="2EB10E9F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8FB07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Identify agencies/individuals to act as translators for the academy</w:t>
            </w:r>
          </w:p>
          <w:p w14:paraId="086F10B0" w14:textId="77777777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243BA" w14:textId="203F1E12" w:rsidR="00645E03" w:rsidRPr="00586553" w:rsidRDefault="00645E03" w:rsidP="00251BC2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Purchase resources in alternative languages</w:t>
            </w:r>
          </w:p>
        </w:tc>
        <w:tc>
          <w:tcPr>
            <w:tcW w:w="3544" w:type="dxa"/>
          </w:tcPr>
          <w:p w14:paraId="087F9187" w14:textId="5E78F8E3" w:rsidR="00645E03" w:rsidRPr="00586553" w:rsidRDefault="00586553" w:rsidP="00797A2E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Microsft translate on all ipads and class computers</w:t>
            </w:r>
          </w:p>
          <w:p w14:paraId="61F0F541" w14:textId="77777777" w:rsidR="00586553" w:rsidRPr="00586553" w:rsidRDefault="00586553" w:rsidP="00797A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EFDDD" w14:textId="77777777" w:rsidR="00645E03" w:rsidRPr="00586553" w:rsidRDefault="00645E03" w:rsidP="00797A2E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A range of resources in alternative languages</w:t>
            </w:r>
          </w:p>
          <w:p w14:paraId="58481A09" w14:textId="77777777" w:rsidR="00645E03" w:rsidRPr="00586553" w:rsidRDefault="00645E03" w:rsidP="00797A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243BB" w14:textId="50AABE89" w:rsidR="00645E03" w:rsidRPr="00586553" w:rsidRDefault="00645E03" w:rsidP="00797A2E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A list of translators for use by the academy</w:t>
            </w:r>
          </w:p>
        </w:tc>
        <w:tc>
          <w:tcPr>
            <w:tcW w:w="1842" w:type="dxa"/>
          </w:tcPr>
          <w:p w14:paraId="021243BC" w14:textId="560658CE" w:rsidR="00645E03" w:rsidRPr="00586553" w:rsidRDefault="00586553" w:rsidP="00A36881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July 2021</w:t>
            </w:r>
          </w:p>
        </w:tc>
        <w:tc>
          <w:tcPr>
            <w:tcW w:w="961" w:type="dxa"/>
          </w:tcPr>
          <w:p w14:paraId="29263DFA" w14:textId="68122921" w:rsidR="00645E03" w:rsidRPr="00586553" w:rsidRDefault="00645E03" w:rsidP="00A36881">
            <w:pPr>
              <w:rPr>
                <w:rFonts w:ascii="Arial" w:hAnsi="Arial" w:cs="Arial"/>
                <w:sz w:val="24"/>
                <w:szCs w:val="24"/>
              </w:rPr>
            </w:pPr>
            <w:r w:rsidRPr="00586553">
              <w:rPr>
                <w:rFonts w:ascii="Arial" w:hAnsi="Arial" w:cs="Arial"/>
                <w:sz w:val="24"/>
                <w:szCs w:val="24"/>
              </w:rPr>
              <w:t>SLT/API</w:t>
            </w:r>
          </w:p>
        </w:tc>
      </w:tr>
    </w:tbl>
    <w:p w14:paraId="021243CE" w14:textId="77777777" w:rsidR="00251BC2" w:rsidRPr="00586553" w:rsidRDefault="00251BC2" w:rsidP="00A36881">
      <w:pPr>
        <w:rPr>
          <w:rFonts w:ascii="Arial" w:hAnsi="Arial" w:cs="Arial"/>
        </w:rPr>
      </w:pPr>
    </w:p>
    <w:sectPr w:rsidR="00251BC2" w:rsidRPr="00586553" w:rsidSect="00264D2C">
      <w:headerReference w:type="default" r:id="rId10"/>
      <w:pgSz w:w="16838" w:h="11906" w:orient="landscape"/>
      <w:pgMar w:top="1006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F844F" w14:textId="77777777" w:rsidR="00645E03" w:rsidRDefault="00645E03" w:rsidP="00A36881">
      <w:pPr>
        <w:spacing w:after="0" w:line="240" w:lineRule="auto"/>
      </w:pPr>
      <w:r>
        <w:separator/>
      </w:r>
    </w:p>
  </w:endnote>
  <w:endnote w:type="continuationSeparator" w:id="0">
    <w:p w14:paraId="5437C933" w14:textId="77777777" w:rsidR="00645E03" w:rsidRDefault="00645E03" w:rsidP="00A3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D9B2" w14:textId="77777777" w:rsidR="00645E03" w:rsidRDefault="00645E03" w:rsidP="00A36881">
      <w:pPr>
        <w:spacing w:after="0" w:line="240" w:lineRule="auto"/>
      </w:pPr>
      <w:r>
        <w:separator/>
      </w:r>
    </w:p>
  </w:footnote>
  <w:footnote w:type="continuationSeparator" w:id="0">
    <w:p w14:paraId="3ED93DED" w14:textId="77777777" w:rsidR="00645E03" w:rsidRDefault="00645E03" w:rsidP="00A3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2CA3" w14:textId="5337CC1D" w:rsidR="00645E03" w:rsidRDefault="00886C53" w:rsidP="00886C53">
    <w:pPr>
      <w:pStyle w:val="Header"/>
      <w:ind w:left="12240"/>
    </w:pPr>
    <w:r>
      <w:tab/>
    </w:r>
    <w:r w:rsidR="00645E03">
      <w:tab/>
      <w:t xml:space="preserve">                                                                                                                                                                  </w:t>
    </w:r>
    <w:r w:rsidR="00645E03" w:rsidRPr="00364EE1">
      <w:rPr>
        <w:rFonts w:ascii="Arial" w:eastAsia="Times New Roman" w:hAnsi="Arial" w:cs="Arial"/>
        <w:b/>
        <w:bCs/>
        <w:noProof/>
        <w:sz w:val="28"/>
        <w:szCs w:val="28"/>
        <w:lang w:eastAsia="en-GB"/>
      </w:rPr>
      <w:drawing>
        <wp:inline distT="0" distB="0" distL="0" distR="0" wp14:anchorId="3CF65A43" wp14:editId="101B635C">
          <wp:extent cx="1091565" cy="5365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45D749" w14:textId="77777777" w:rsidR="00645E03" w:rsidRDefault="00645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1"/>
    <w:rsid w:val="00153E7F"/>
    <w:rsid w:val="00226127"/>
    <w:rsid w:val="00251BC2"/>
    <w:rsid w:val="00264D2C"/>
    <w:rsid w:val="002923B6"/>
    <w:rsid w:val="002C47DD"/>
    <w:rsid w:val="002E24B9"/>
    <w:rsid w:val="00302584"/>
    <w:rsid w:val="00364EE1"/>
    <w:rsid w:val="004B5CF1"/>
    <w:rsid w:val="00515561"/>
    <w:rsid w:val="00586553"/>
    <w:rsid w:val="005C1D46"/>
    <w:rsid w:val="00645E03"/>
    <w:rsid w:val="00651420"/>
    <w:rsid w:val="00691C7D"/>
    <w:rsid w:val="006F03DF"/>
    <w:rsid w:val="00762B1E"/>
    <w:rsid w:val="00793B30"/>
    <w:rsid w:val="007940BA"/>
    <w:rsid w:val="00797A2E"/>
    <w:rsid w:val="0085180D"/>
    <w:rsid w:val="00886C53"/>
    <w:rsid w:val="009034D5"/>
    <w:rsid w:val="00A36881"/>
    <w:rsid w:val="00AE7A6B"/>
    <w:rsid w:val="00B624DB"/>
    <w:rsid w:val="00B80275"/>
    <w:rsid w:val="00BA7859"/>
    <w:rsid w:val="00C25679"/>
    <w:rsid w:val="00C6393D"/>
    <w:rsid w:val="00CF0EE4"/>
    <w:rsid w:val="00D04AB5"/>
    <w:rsid w:val="00DA53E0"/>
    <w:rsid w:val="00DB090E"/>
    <w:rsid w:val="00EA08E8"/>
    <w:rsid w:val="00FC53E0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124286"/>
  <w15:docId w15:val="{B45EF8DA-1A2D-4930-A291-C007288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881"/>
  </w:style>
  <w:style w:type="paragraph" w:styleId="Footer">
    <w:name w:val="footer"/>
    <w:basedOn w:val="Normal"/>
    <w:link w:val="FooterChar"/>
    <w:uiPriority w:val="99"/>
    <w:unhideWhenUsed/>
    <w:rsid w:val="00A36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C4BC5DD543249818F8F934D6A5F07" ma:contentTypeVersion="14" ma:contentTypeDescription="Create a new document." ma:contentTypeScope="" ma:versionID="fbb84573fe65c5a83c85567c8aadfe3d">
  <xsd:schema xmlns:xsd="http://www.w3.org/2001/XMLSchema" xmlns:xs="http://www.w3.org/2001/XMLSchema" xmlns:p="http://schemas.microsoft.com/office/2006/metadata/properties" xmlns:ns3="441571eb-fd53-46ad-9b21-4ab94a5a18be" xmlns:ns4="02b85b11-207f-49a7-aa08-7d36dc6337d3" targetNamespace="http://schemas.microsoft.com/office/2006/metadata/properties" ma:root="true" ma:fieldsID="b1c11a81cea6c77b16fbaac9e335f504" ns3:_="" ns4:_="">
    <xsd:import namespace="441571eb-fd53-46ad-9b21-4ab94a5a18be"/>
    <xsd:import namespace="02b85b11-207f-49a7-aa08-7d36dc6337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571eb-fd53-46ad-9b21-4ab94a5a1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5b11-207f-49a7-aa08-7d36dc633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B19E-3FD1-4841-9483-C029D9EAE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571eb-fd53-46ad-9b21-4ab94a5a18be"/>
    <ds:schemaRef ds:uri="02b85b11-207f-49a7-aa08-7d36dc633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D0195-6A62-4F86-BC08-019EE9580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8C4A3-2524-4F5E-9246-98B35DA3A64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441571eb-fd53-46ad-9b21-4ab94a5a18b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2b85b11-207f-49a7-aa08-7d36dc6337d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69E193-CE56-410A-900D-4BD4242F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Sweeting</dc:creator>
  <cp:lastModifiedBy>Joanne Sweeting</cp:lastModifiedBy>
  <cp:revision>2</cp:revision>
  <dcterms:created xsi:type="dcterms:W3CDTF">2020-07-03T10:06:00Z</dcterms:created>
  <dcterms:modified xsi:type="dcterms:W3CDTF">2020-07-03T10:06:00Z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0x0101009BBC4BC5DD543249818F8F934D6A5F07</vt:lpwstr>
  </property>
</Properties>
</file>